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80B114" w14:textId="1281B13F" w:rsidR="008D1D50" w:rsidRPr="008D1D50" w:rsidRDefault="008D1D50" w:rsidP="008D1D50">
      <w:pPr>
        <w:rPr>
          <w:b/>
          <w:bCs/>
          <w:sz w:val="24"/>
          <w:szCs w:val="24"/>
        </w:rPr>
      </w:pPr>
      <w:r w:rsidRPr="008D1D50">
        <w:rPr>
          <w:b/>
          <w:sz w:val="24"/>
          <w:szCs w:val="24"/>
        </w:rPr>
        <w:t>13th Annual Stroke Care Symposium - May 2, 2025</w:t>
      </w:r>
    </w:p>
    <w:p w14:paraId="5801479C" w14:textId="454BC2C1" w:rsidR="008D1D50" w:rsidRPr="00C53265" w:rsidRDefault="008D1D50" w:rsidP="008D1D50">
      <w:pPr>
        <w:rPr>
          <w:sz w:val="20"/>
          <w:szCs w:val="20"/>
        </w:rPr>
      </w:pPr>
      <w:r w:rsidRPr="002676C5">
        <w:rPr>
          <w:b/>
          <w:bCs/>
          <w:noProof/>
          <w:sz w:val="20"/>
          <w:szCs w:val="20"/>
        </w:rPr>
        <w:drawing>
          <wp:anchor distT="0" distB="0" distL="114300" distR="114300" simplePos="0" relativeHeight="251659264" behindDoc="0" locked="0" layoutInCell="1" allowOverlap="1" wp14:anchorId="7637C68C" wp14:editId="19378C02">
            <wp:simplePos x="0" y="0"/>
            <wp:positionH relativeFrom="margin">
              <wp:posOffset>28575</wp:posOffset>
            </wp:positionH>
            <wp:positionV relativeFrom="paragraph">
              <wp:posOffset>269240</wp:posOffset>
            </wp:positionV>
            <wp:extent cx="807720" cy="5715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4" cstate="print">
                      <a:extLst>
                        <a:ext uri="{28A0092B-C50C-407E-A947-70E740481C1C}">
                          <a14:useLocalDpi xmlns:a14="http://schemas.microsoft.com/office/drawing/2010/main" val="0"/>
                        </a:ext>
                      </a:extLst>
                    </a:blip>
                    <a:stretch>
                      <a:fillRect/>
                    </a:stretch>
                  </pic:blipFill>
                  <pic:spPr>
                    <a:xfrm>
                      <a:off x="0" y="0"/>
                      <a:ext cx="807720" cy="571500"/>
                    </a:xfrm>
                    <a:prstGeom prst="rect">
                      <a:avLst/>
                    </a:prstGeom>
                  </pic:spPr>
                </pic:pic>
              </a:graphicData>
            </a:graphic>
            <wp14:sizeRelH relativeFrom="page">
              <wp14:pctWidth>0</wp14:pctWidth>
            </wp14:sizeRelH>
            <wp14:sizeRelV relativeFrom="page">
              <wp14:pctHeight>0</wp14:pctHeight>
            </wp14:sizeRelV>
          </wp:anchor>
        </w:drawing>
      </w:r>
      <w:r w:rsidRPr="00C53265">
        <w:rPr>
          <w:b/>
          <w:bCs/>
          <w:sz w:val="20"/>
          <w:szCs w:val="20"/>
        </w:rPr>
        <w:t>Accreditation Statement</w:t>
      </w:r>
      <w:r>
        <w:rPr>
          <w:sz w:val="20"/>
          <w:szCs w:val="20"/>
        </w:rPr>
        <w:br/>
      </w:r>
      <w:r w:rsidR="00CB00B6" w:rsidRPr="00CB00B6">
        <w:rPr>
          <w:sz w:val="20"/>
          <w:szCs w:val="20"/>
        </w:rPr>
        <w:t xml:space="preserve">In support of improving patient care, this activity has been planned and implemented by Singing River Health System and USA’s College of Medicine Office of CME is jointly accredited by the Accreditation Council for Continuing Medical Education (ACCME), the Accreditation Council for Pharmacy Education (ACPE), and the American Nurses Credentialing Center (ANCC), to provide </w:t>
      </w:r>
      <w:r w:rsidR="00CB00B6">
        <w:rPr>
          <w:sz w:val="20"/>
          <w:szCs w:val="20"/>
        </w:rPr>
        <w:br/>
      </w:r>
      <w:r w:rsidR="00CB00B6" w:rsidRPr="00CB00B6">
        <w:rPr>
          <w:sz w:val="20"/>
          <w:szCs w:val="20"/>
        </w:rPr>
        <w:t>continuing education for the healthcare team. Provider Number: 4008198</w:t>
      </w:r>
    </w:p>
    <w:p w14:paraId="44251C84" w14:textId="77777777" w:rsidR="008D1D50" w:rsidRPr="00C53265" w:rsidRDefault="008D1D50" w:rsidP="008D1D50">
      <w:pPr>
        <w:spacing w:after="0"/>
        <w:rPr>
          <w:b/>
          <w:bCs/>
          <w:sz w:val="20"/>
          <w:szCs w:val="20"/>
        </w:rPr>
      </w:pPr>
      <w:r w:rsidRPr="00C53265">
        <w:rPr>
          <w:b/>
          <w:bCs/>
          <w:sz w:val="20"/>
          <w:szCs w:val="20"/>
        </w:rPr>
        <w:t>Designation Statements</w:t>
      </w:r>
    </w:p>
    <w:p w14:paraId="5EC3BC8F" w14:textId="59EBD9CC" w:rsidR="008D1D50" w:rsidRPr="00C53265" w:rsidRDefault="008D1D50" w:rsidP="008D1D50">
      <w:pPr>
        <w:spacing w:after="0"/>
        <w:rPr>
          <w:sz w:val="20"/>
          <w:szCs w:val="20"/>
        </w:rPr>
      </w:pPr>
      <w:r w:rsidRPr="002676C5">
        <w:rPr>
          <w:b/>
          <w:bCs/>
          <w:sz w:val="20"/>
          <w:szCs w:val="20"/>
        </w:rPr>
        <w:t>JA</w:t>
      </w:r>
      <w:r w:rsidRPr="00C53265">
        <w:rPr>
          <w:sz w:val="20"/>
          <w:szCs w:val="20"/>
        </w:rPr>
        <w:t xml:space="preserve">- This activity was planned by and for the health care team, and learners will receive </w:t>
      </w:r>
      <w:r w:rsidR="00CB00B6">
        <w:rPr>
          <w:sz w:val="20"/>
          <w:szCs w:val="20"/>
        </w:rPr>
        <w:t>6.5</w:t>
      </w:r>
      <w:r w:rsidRPr="00C53265">
        <w:rPr>
          <w:sz w:val="20"/>
          <w:szCs w:val="20"/>
        </w:rPr>
        <w:t xml:space="preserve"> </w:t>
      </w:r>
      <w:proofErr w:type="spellStart"/>
      <w:r w:rsidRPr="00C53265">
        <w:rPr>
          <w:sz w:val="20"/>
          <w:szCs w:val="20"/>
        </w:rPr>
        <w:t>lnterprofessional</w:t>
      </w:r>
      <w:proofErr w:type="spellEnd"/>
      <w:r w:rsidRPr="00C53265">
        <w:rPr>
          <w:sz w:val="20"/>
          <w:szCs w:val="20"/>
        </w:rPr>
        <w:t xml:space="preserve"> Continuing Education credits for learning and change. </w:t>
      </w:r>
    </w:p>
    <w:p w14:paraId="1625942A" w14:textId="35266A72" w:rsidR="008D1D50" w:rsidRPr="00C53265" w:rsidRDefault="008D1D50" w:rsidP="008D1D50">
      <w:pPr>
        <w:spacing w:after="0"/>
        <w:rPr>
          <w:sz w:val="20"/>
          <w:szCs w:val="20"/>
        </w:rPr>
      </w:pPr>
      <w:r>
        <w:rPr>
          <w:b/>
          <w:bCs/>
          <w:noProof/>
          <w:sz w:val="20"/>
          <w:szCs w:val="20"/>
        </w:rPr>
        <w:drawing>
          <wp:anchor distT="0" distB="0" distL="114300" distR="114300" simplePos="0" relativeHeight="251660288" behindDoc="0" locked="0" layoutInCell="1" allowOverlap="1" wp14:anchorId="3BB5D025" wp14:editId="48FEEFCF">
            <wp:simplePos x="0" y="0"/>
            <wp:positionH relativeFrom="margin">
              <wp:align>left</wp:align>
            </wp:positionH>
            <wp:positionV relativeFrom="paragraph">
              <wp:posOffset>95250</wp:posOffset>
            </wp:positionV>
            <wp:extent cx="457200" cy="3302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457200" cy="330200"/>
                    </a:xfrm>
                    <a:prstGeom prst="rect">
                      <a:avLst/>
                    </a:prstGeom>
                  </pic:spPr>
                </pic:pic>
              </a:graphicData>
            </a:graphic>
            <wp14:sizeRelH relativeFrom="margin">
              <wp14:pctWidth>0</wp14:pctWidth>
            </wp14:sizeRelH>
            <wp14:sizeRelV relativeFrom="margin">
              <wp14:pctHeight>0</wp14:pctHeight>
            </wp14:sizeRelV>
          </wp:anchor>
        </w:drawing>
      </w:r>
      <w:r w:rsidRPr="002676C5">
        <w:rPr>
          <w:b/>
          <w:bCs/>
          <w:sz w:val="20"/>
          <w:szCs w:val="20"/>
        </w:rPr>
        <w:t>CME</w:t>
      </w:r>
      <w:r w:rsidRPr="00C53265">
        <w:rPr>
          <w:sz w:val="20"/>
          <w:szCs w:val="20"/>
        </w:rPr>
        <w:t xml:space="preserve"> - The University of South Alabama College of Medicine designates this live activity for a maximum of </w:t>
      </w:r>
      <w:r w:rsidR="00CB00B6">
        <w:rPr>
          <w:sz w:val="20"/>
          <w:szCs w:val="20"/>
        </w:rPr>
        <w:t>6</w:t>
      </w:r>
      <w:r>
        <w:rPr>
          <w:sz w:val="20"/>
          <w:szCs w:val="20"/>
        </w:rPr>
        <w:t>.5</w:t>
      </w:r>
      <w:r w:rsidRPr="00C53265">
        <w:rPr>
          <w:sz w:val="20"/>
          <w:szCs w:val="20"/>
        </w:rPr>
        <w:t xml:space="preserve"> </w:t>
      </w:r>
      <w:r w:rsidRPr="002676C5">
        <w:rPr>
          <w:i/>
          <w:iCs/>
          <w:sz w:val="20"/>
          <w:szCs w:val="20"/>
        </w:rPr>
        <w:t>AMA PRA Category 1 Credit(s)™</w:t>
      </w:r>
      <w:r w:rsidRPr="00C53265">
        <w:rPr>
          <w:sz w:val="20"/>
          <w:szCs w:val="20"/>
        </w:rPr>
        <w:t>. Physicians should claim only the credit commensurate with the extent of their participation in the activity.</w:t>
      </w:r>
    </w:p>
    <w:p w14:paraId="3AB1DD69" w14:textId="78B3C051" w:rsidR="008D1D50" w:rsidRPr="00162B75" w:rsidRDefault="008D1D50" w:rsidP="008D1D50">
      <w:pPr>
        <w:spacing w:after="0"/>
        <w:rPr>
          <w:sz w:val="20"/>
          <w:szCs w:val="20"/>
        </w:rPr>
      </w:pPr>
      <w:r w:rsidRPr="00162B75">
        <w:rPr>
          <w:b/>
          <w:bCs/>
          <w:sz w:val="20"/>
          <w:szCs w:val="20"/>
        </w:rPr>
        <w:t>ANCC</w:t>
      </w:r>
      <w:r w:rsidRPr="00162B75">
        <w:rPr>
          <w:sz w:val="20"/>
          <w:szCs w:val="20"/>
        </w:rPr>
        <w:t xml:space="preserve"> - This program has been reviewed and is acceptable for up to </w:t>
      </w:r>
      <w:r w:rsidR="00CB00B6">
        <w:rPr>
          <w:sz w:val="20"/>
          <w:szCs w:val="20"/>
        </w:rPr>
        <w:t>6.5</w:t>
      </w:r>
      <w:r w:rsidRPr="00162B75">
        <w:rPr>
          <w:sz w:val="20"/>
          <w:szCs w:val="20"/>
        </w:rPr>
        <w:t xml:space="preserve"> nursing contact hours.</w:t>
      </w:r>
    </w:p>
    <w:p w14:paraId="5487C9EE" w14:textId="24DE2EED" w:rsidR="008D1D50" w:rsidRPr="00162B75" w:rsidRDefault="008D1D50" w:rsidP="008D1D50">
      <w:pPr>
        <w:spacing w:after="0"/>
        <w:rPr>
          <w:sz w:val="20"/>
          <w:szCs w:val="20"/>
        </w:rPr>
      </w:pPr>
      <w:r w:rsidRPr="00162B75">
        <w:rPr>
          <w:b/>
          <w:bCs/>
          <w:sz w:val="20"/>
          <w:szCs w:val="20"/>
        </w:rPr>
        <w:t>ACPE</w:t>
      </w:r>
      <w:r w:rsidRPr="00162B75">
        <w:rPr>
          <w:sz w:val="20"/>
          <w:szCs w:val="20"/>
        </w:rPr>
        <w:t xml:space="preserve"> - This course has been approved for </w:t>
      </w:r>
      <w:r w:rsidR="00CB00B6">
        <w:rPr>
          <w:sz w:val="20"/>
          <w:szCs w:val="20"/>
        </w:rPr>
        <w:t>6.5</w:t>
      </w:r>
      <w:r w:rsidRPr="00162B75">
        <w:rPr>
          <w:sz w:val="20"/>
          <w:szCs w:val="20"/>
        </w:rPr>
        <w:t xml:space="preserve"> hours of pharmacy continuing education credit. The approval number issued is: </w:t>
      </w:r>
      <w:r w:rsidR="00CB00B6" w:rsidRPr="00CB00B6">
        <w:rPr>
          <w:sz w:val="20"/>
          <w:szCs w:val="20"/>
        </w:rPr>
        <w:t>UAN JA4008198-9999-25-028-L99-P</w:t>
      </w:r>
    </w:p>
    <w:p w14:paraId="785A7F8E" w14:textId="77777777" w:rsidR="008D1D50" w:rsidRPr="00162B75" w:rsidRDefault="008D1D50" w:rsidP="008D1D50">
      <w:pPr>
        <w:spacing w:after="0"/>
        <w:rPr>
          <w:sz w:val="20"/>
          <w:szCs w:val="20"/>
        </w:rPr>
      </w:pPr>
      <w:r w:rsidRPr="00162B75">
        <w:rPr>
          <w:b/>
          <w:bCs/>
          <w:sz w:val="20"/>
          <w:szCs w:val="20"/>
        </w:rPr>
        <w:t>APA</w:t>
      </w:r>
      <w:r w:rsidRPr="00162B75">
        <w:rPr>
          <w:sz w:val="20"/>
          <w:szCs w:val="20"/>
        </w:rPr>
        <w:t xml:space="preserve"> - Continuing Education (CE) credits for psychologists are provided through the co-sponsorship of the American Psychological Association (APA) Office of Continuing Education in Psychology (CEP). The APA CEP Office maintains responsibility for the content of the programs.</w:t>
      </w:r>
      <w:r w:rsidRPr="00162B75">
        <w:rPr>
          <w:sz w:val="20"/>
          <w:szCs w:val="20"/>
        </w:rPr>
        <w:br/>
      </w:r>
      <w:r w:rsidRPr="00162B75">
        <w:rPr>
          <w:b/>
          <w:bCs/>
          <w:sz w:val="20"/>
          <w:szCs w:val="20"/>
        </w:rPr>
        <w:t>A</w:t>
      </w:r>
      <w:r>
        <w:rPr>
          <w:b/>
          <w:bCs/>
          <w:sz w:val="20"/>
          <w:szCs w:val="20"/>
        </w:rPr>
        <w:t>S</w:t>
      </w:r>
      <w:r w:rsidRPr="00162B75">
        <w:rPr>
          <w:b/>
          <w:bCs/>
          <w:sz w:val="20"/>
          <w:szCs w:val="20"/>
        </w:rPr>
        <w:t>BSWE</w:t>
      </w:r>
      <w:r w:rsidRPr="00162B75">
        <w:rPr>
          <w:sz w:val="20"/>
          <w:szCs w:val="20"/>
        </w:rPr>
        <w:t xml:space="preserve"> - USA Office of CME has been approved by the Alabama State Board of Social Work Examiners as a continuing education provider. Provider Number 0465.</w:t>
      </w:r>
    </w:p>
    <w:p w14:paraId="04EC57C0" w14:textId="77777777" w:rsidR="008D1D50" w:rsidRPr="00162B75" w:rsidRDefault="008D1D50" w:rsidP="008D1D50">
      <w:pPr>
        <w:spacing w:after="0"/>
        <w:rPr>
          <w:sz w:val="20"/>
          <w:szCs w:val="20"/>
        </w:rPr>
      </w:pPr>
      <w:r w:rsidRPr="00162B75">
        <w:rPr>
          <w:b/>
          <w:bCs/>
          <w:sz w:val="20"/>
          <w:szCs w:val="20"/>
        </w:rPr>
        <w:t>CDR</w:t>
      </w:r>
      <w:r w:rsidRPr="00162B75">
        <w:rPr>
          <w:sz w:val="20"/>
          <w:szCs w:val="20"/>
        </w:rPr>
        <w:t xml:space="preserve"> - Completion of this RD/DTR profession-specific or IPCE activity awards CPEUs (One IPCE credit=One CPEU). If the activity is dietetics-related but not targeted to RDs or DTRs, CPEUs may be claimed which are commensurate with participation in contact hours (One 60-minute hour=1 CPEU). RDs and DTRs are to select activity type 102 in their Activity Log. Sphere and Competency selection is at the learner’s discretion.</w:t>
      </w:r>
    </w:p>
    <w:p w14:paraId="6169A373" w14:textId="12E72077" w:rsidR="008D1D50" w:rsidRPr="00162B75" w:rsidRDefault="008D1D50" w:rsidP="008D1D50">
      <w:pPr>
        <w:spacing w:after="0"/>
        <w:rPr>
          <w:sz w:val="20"/>
          <w:szCs w:val="20"/>
        </w:rPr>
      </w:pPr>
      <w:r w:rsidRPr="00162B75">
        <w:rPr>
          <w:b/>
          <w:bCs/>
          <w:sz w:val="20"/>
          <w:szCs w:val="20"/>
        </w:rPr>
        <w:t>RT</w:t>
      </w:r>
      <w:r w:rsidRPr="00162B75">
        <w:rPr>
          <w:sz w:val="20"/>
          <w:szCs w:val="20"/>
        </w:rPr>
        <w:t xml:space="preserve"> - </w:t>
      </w:r>
      <w:r w:rsidRPr="00162B75">
        <w:rPr>
          <w:i/>
          <w:iCs/>
          <w:sz w:val="20"/>
          <w:szCs w:val="20"/>
        </w:rPr>
        <w:t>AMA PRA Category 1 Credit(s)™</w:t>
      </w:r>
      <w:r w:rsidRPr="00162B75">
        <w:rPr>
          <w:sz w:val="20"/>
          <w:szCs w:val="20"/>
        </w:rPr>
        <w:t xml:space="preserve"> transfer credit is available. The Alabama Board of Respiratory Therapy will determine final credit eligibility of topics presented.</w:t>
      </w:r>
      <w:r w:rsidRPr="00162B75">
        <w:rPr>
          <w:sz w:val="20"/>
          <w:szCs w:val="20"/>
        </w:rPr>
        <w:br/>
      </w:r>
      <w:r w:rsidRPr="007D024A">
        <w:rPr>
          <w:b/>
          <w:bCs/>
          <w:sz w:val="20"/>
          <w:szCs w:val="20"/>
        </w:rPr>
        <w:t>Attendance</w:t>
      </w:r>
      <w:r>
        <w:rPr>
          <w:sz w:val="20"/>
          <w:szCs w:val="20"/>
        </w:rPr>
        <w:t xml:space="preserve"> - </w:t>
      </w:r>
      <w:r w:rsidRPr="00162B75">
        <w:rPr>
          <w:sz w:val="20"/>
          <w:szCs w:val="20"/>
        </w:rPr>
        <w:t xml:space="preserve">This program is valid for </w:t>
      </w:r>
      <w:r w:rsidR="00CB00B6">
        <w:rPr>
          <w:sz w:val="20"/>
          <w:szCs w:val="20"/>
        </w:rPr>
        <w:t>6</w:t>
      </w:r>
      <w:r w:rsidRPr="00162B75">
        <w:rPr>
          <w:sz w:val="20"/>
          <w:szCs w:val="20"/>
        </w:rPr>
        <w:t>.5 continuing education credits</w:t>
      </w:r>
      <w:r>
        <w:rPr>
          <w:sz w:val="20"/>
          <w:szCs w:val="20"/>
        </w:rPr>
        <w:t>.</w:t>
      </w:r>
    </w:p>
    <w:p w14:paraId="2CB06CB0" w14:textId="77777777" w:rsidR="008D1D50" w:rsidRPr="00162B75" w:rsidRDefault="008D1D50" w:rsidP="008D1D50">
      <w:pPr>
        <w:spacing w:after="0"/>
        <w:rPr>
          <w:sz w:val="20"/>
          <w:szCs w:val="20"/>
        </w:rPr>
      </w:pPr>
    </w:p>
    <w:p w14:paraId="074663B9" w14:textId="77777777" w:rsidR="008D1D50" w:rsidRPr="00AC1AE9" w:rsidRDefault="008D1D50" w:rsidP="008D1D50">
      <w:pPr>
        <w:spacing w:after="0"/>
        <w:rPr>
          <w:b/>
          <w:bCs/>
          <w:sz w:val="20"/>
          <w:szCs w:val="20"/>
        </w:rPr>
      </w:pPr>
      <w:r w:rsidRPr="00AC1AE9">
        <w:rPr>
          <w:b/>
          <w:bCs/>
          <w:sz w:val="20"/>
          <w:szCs w:val="20"/>
        </w:rPr>
        <w:t>Special Services</w:t>
      </w:r>
    </w:p>
    <w:p w14:paraId="326C6422" w14:textId="77777777" w:rsidR="008D1D50" w:rsidRPr="00AC1AE9" w:rsidRDefault="008D1D50" w:rsidP="008D1D50">
      <w:pPr>
        <w:spacing w:after="0"/>
        <w:rPr>
          <w:sz w:val="20"/>
          <w:szCs w:val="20"/>
        </w:rPr>
      </w:pPr>
      <w:r w:rsidRPr="00AC1AE9">
        <w:rPr>
          <w:sz w:val="20"/>
          <w:szCs w:val="20"/>
        </w:rPr>
        <w:t xml:space="preserve">The University of South Alabama College of Medicine fully complies with the legal requirements of the Americans with Disabilities Act and the rules and regulations thereof.   </w:t>
      </w:r>
    </w:p>
    <w:p w14:paraId="034A4179" w14:textId="77777777" w:rsidR="008D1D50" w:rsidRDefault="008D1D50" w:rsidP="008D1D50">
      <w:pPr>
        <w:spacing w:after="0"/>
        <w:rPr>
          <w:sz w:val="20"/>
          <w:szCs w:val="20"/>
        </w:rPr>
      </w:pPr>
    </w:p>
    <w:p w14:paraId="52BE7F9F" w14:textId="77777777" w:rsidR="008D1D50" w:rsidRPr="001D0446" w:rsidRDefault="008D1D50" w:rsidP="008D1D50">
      <w:pPr>
        <w:spacing w:after="0"/>
        <w:rPr>
          <w:b/>
          <w:bCs/>
          <w:sz w:val="20"/>
          <w:szCs w:val="20"/>
        </w:rPr>
      </w:pPr>
      <w:r w:rsidRPr="001D0446">
        <w:rPr>
          <w:b/>
          <w:bCs/>
          <w:sz w:val="20"/>
          <w:szCs w:val="20"/>
        </w:rPr>
        <w:t>Disclosures</w:t>
      </w:r>
    </w:p>
    <w:p w14:paraId="7132C73C" w14:textId="77777777" w:rsidR="008D1D50" w:rsidRPr="001D0446" w:rsidRDefault="008D1D50" w:rsidP="008D1D50">
      <w:pPr>
        <w:spacing w:after="0"/>
        <w:rPr>
          <w:sz w:val="20"/>
          <w:szCs w:val="20"/>
        </w:rPr>
      </w:pPr>
      <w:r w:rsidRPr="001D0446">
        <w:rPr>
          <w:sz w:val="20"/>
          <w:szCs w:val="20"/>
        </w:rPr>
        <w:t xml:space="preserve">Disclosures for all those in control of the content of this activity. The names of the ineligible companies (within the last 24 months) and the nature of the financial relationship(s). There is no minimum financial threshold.  Disclosure of all financial relationships with ineligible companies regardless of the potential relevance of each relationship to the education. </w:t>
      </w:r>
    </w:p>
    <w:p w14:paraId="44123CC9" w14:textId="77777777" w:rsidR="008D1D50" w:rsidRPr="001D0446" w:rsidRDefault="008D1D50" w:rsidP="008D1D50">
      <w:pPr>
        <w:spacing w:after="0"/>
        <w:rPr>
          <w:sz w:val="20"/>
          <w:szCs w:val="20"/>
        </w:rPr>
      </w:pPr>
    </w:p>
    <w:p w14:paraId="0AB2CBC1" w14:textId="34E7F894" w:rsidR="008D1D50" w:rsidRPr="001D0446" w:rsidRDefault="008D1D50" w:rsidP="008D1D50">
      <w:pPr>
        <w:spacing w:after="0"/>
        <w:rPr>
          <w:sz w:val="20"/>
          <w:szCs w:val="20"/>
        </w:rPr>
      </w:pPr>
      <w:r w:rsidRPr="000F63A8">
        <w:rPr>
          <w:b/>
          <w:bCs/>
          <w:sz w:val="20"/>
          <w:szCs w:val="20"/>
        </w:rPr>
        <w:t xml:space="preserve">Course Director: </w:t>
      </w:r>
      <w:r w:rsidR="00CB00B6" w:rsidRPr="00CB00B6">
        <w:rPr>
          <w:sz w:val="20"/>
          <w:szCs w:val="20"/>
        </w:rPr>
        <w:t>William Evans, MD</w:t>
      </w:r>
      <w:r w:rsidRPr="000F63A8">
        <w:rPr>
          <w:b/>
          <w:bCs/>
          <w:sz w:val="20"/>
          <w:szCs w:val="20"/>
        </w:rPr>
        <w:t xml:space="preserve">; Course Coordinator: </w:t>
      </w:r>
      <w:r w:rsidR="00CB00B6" w:rsidRPr="00CB00B6">
        <w:rPr>
          <w:sz w:val="20"/>
          <w:szCs w:val="20"/>
        </w:rPr>
        <w:t>Heather Sudduth</w:t>
      </w:r>
      <w:r w:rsidR="00CB00B6">
        <w:rPr>
          <w:sz w:val="20"/>
          <w:szCs w:val="20"/>
        </w:rPr>
        <w:t xml:space="preserve">, </w:t>
      </w:r>
      <w:r w:rsidR="00CB00B6" w:rsidRPr="00CB00B6">
        <w:rPr>
          <w:sz w:val="20"/>
          <w:szCs w:val="20"/>
        </w:rPr>
        <w:t>OTR/L</w:t>
      </w:r>
      <w:r w:rsidRPr="000F63A8">
        <w:rPr>
          <w:b/>
          <w:bCs/>
          <w:sz w:val="20"/>
          <w:szCs w:val="20"/>
        </w:rPr>
        <w:t xml:space="preserve">; Planning Committee: </w:t>
      </w:r>
      <w:r w:rsidR="00CB00B6" w:rsidRPr="00CB00B6">
        <w:rPr>
          <w:sz w:val="20"/>
          <w:szCs w:val="20"/>
        </w:rPr>
        <w:t>William Evans, MD, Heather Sudduth</w:t>
      </w:r>
      <w:r w:rsidR="00CB00B6">
        <w:rPr>
          <w:sz w:val="20"/>
          <w:szCs w:val="20"/>
        </w:rPr>
        <w:t xml:space="preserve">, </w:t>
      </w:r>
      <w:r w:rsidR="00CB00B6" w:rsidRPr="00CB00B6">
        <w:rPr>
          <w:sz w:val="20"/>
          <w:szCs w:val="20"/>
        </w:rPr>
        <w:t xml:space="preserve">OTR/L, Linda </w:t>
      </w:r>
      <w:proofErr w:type="spellStart"/>
      <w:r w:rsidR="00CB00B6" w:rsidRPr="00CB00B6">
        <w:rPr>
          <w:sz w:val="20"/>
          <w:szCs w:val="20"/>
        </w:rPr>
        <w:t>Littlejohns</w:t>
      </w:r>
      <w:proofErr w:type="spellEnd"/>
      <w:r w:rsidR="00CB00B6" w:rsidRPr="00CB00B6">
        <w:rPr>
          <w:sz w:val="20"/>
          <w:szCs w:val="20"/>
        </w:rPr>
        <w:t>, RN, Randy Roth, MD, Cynthia Bautista, RN, Rosa Hart, RN, Crystal Flesher, Jim Creg</w:t>
      </w:r>
      <w:r w:rsidRPr="000F63A8">
        <w:rPr>
          <w:b/>
          <w:bCs/>
          <w:sz w:val="20"/>
          <w:szCs w:val="20"/>
        </w:rPr>
        <w:t xml:space="preserve">; Faculty: </w:t>
      </w:r>
      <w:r w:rsidR="00CB00B6" w:rsidRPr="00CB00B6">
        <w:rPr>
          <w:sz w:val="20"/>
          <w:szCs w:val="20"/>
        </w:rPr>
        <w:t xml:space="preserve">Linda </w:t>
      </w:r>
      <w:proofErr w:type="spellStart"/>
      <w:r w:rsidR="00CB00B6" w:rsidRPr="00CB00B6">
        <w:rPr>
          <w:sz w:val="20"/>
          <w:szCs w:val="20"/>
        </w:rPr>
        <w:t>Littlejohns</w:t>
      </w:r>
      <w:proofErr w:type="spellEnd"/>
      <w:r w:rsidR="00CB00B6" w:rsidRPr="00CB00B6">
        <w:rPr>
          <w:sz w:val="20"/>
          <w:szCs w:val="20"/>
        </w:rPr>
        <w:t xml:space="preserve">, RN, Randy Roth, MD, Cynthia Bautista, PhD, APRN, Bayley Sanders, OT, Rosa Heart, BSN, RN, </w:t>
      </w:r>
      <w:proofErr w:type="spellStart"/>
      <w:r w:rsidR="00CB00B6" w:rsidRPr="00CB00B6">
        <w:rPr>
          <w:sz w:val="20"/>
          <w:szCs w:val="20"/>
        </w:rPr>
        <w:t>Mischelle</w:t>
      </w:r>
      <w:proofErr w:type="spellEnd"/>
      <w:r w:rsidR="00CB00B6" w:rsidRPr="00CB00B6">
        <w:rPr>
          <w:sz w:val="20"/>
          <w:szCs w:val="20"/>
        </w:rPr>
        <w:t xml:space="preserve"> Vining, PT</w:t>
      </w:r>
      <w:r>
        <w:rPr>
          <w:sz w:val="20"/>
          <w:szCs w:val="20"/>
        </w:rPr>
        <w:t>,</w:t>
      </w:r>
      <w:r w:rsidRPr="000F63A8">
        <w:rPr>
          <w:b/>
          <w:bCs/>
          <w:sz w:val="20"/>
          <w:szCs w:val="20"/>
        </w:rPr>
        <w:t xml:space="preserve"> </w:t>
      </w:r>
      <w:r w:rsidRPr="00D50EE5">
        <w:rPr>
          <w:sz w:val="20"/>
          <w:szCs w:val="20"/>
        </w:rPr>
        <w:t>have nothing to disclose</w:t>
      </w:r>
      <w:r w:rsidR="00CB00B6" w:rsidRPr="00D50EE5">
        <w:rPr>
          <w:sz w:val="20"/>
          <w:szCs w:val="20"/>
        </w:rPr>
        <w:t xml:space="preserve"> </w:t>
      </w:r>
      <w:r w:rsidR="00CB00B6" w:rsidRPr="00D50EE5">
        <w:rPr>
          <w:sz w:val="20"/>
          <w:szCs w:val="20"/>
        </w:rPr>
        <w:t>with the exception of Heather Sudduth, OTR/L: Consultant - CSL Behring</w:t>
      </w:r>
      <w:r w:rsidRPr="00D50EE5">
        <w:rPr>
          <w:sz w:val="20"/>
          <w:szCs w:val="20"/>
        </w:rPr>
        <w:t>.</w:t>
      </w:r>
      <w:r w:rsidRPr="00D50EE5">
        <w:rPr>
          <w:sz w:val="20"/>
          <w:szCs w:val="20"/>
        </w:rPr>
        <w:br/>
      </w:r>
    </w:p>
    <w:p w14:paraId="083F71B3" w14:textId="77777777" w:rsidR="008D1D50" w:rsidRDefault="008D1D50" w:rsidP="008D1D50">
      <w:pPr>
        <w:spacing w:after="0"/>
        <w:rPr>
          <w:sz w:val="20"/>
          <w:szCs w:val="20"/>
        </w:rPr>
      </w:pPr>
      <w:r w:rsidRPr="001D0446">
        <w:rPr>
          <w:sz w:val="20"/>
          <w:szCs w:val="20"/>
        </w:rPr>
        <w:t>The USA CME Office staff and Advisory Committee have nothing to disclose</w:t>
      </w:r>
      <w:r>
        <w:rPr>
          <w:sz w:val="20"/>
          <w:szCs w:val="20"/>
        </w:rPr>
        <w:t xml:space="preserve"> with the exception of: </w:t>
      </w:r>
      <w:r>
        <w:rPr>
          <w:sz w:val="20"/>
          <w:szCs w:val="20"/>
        </w:rPr>
        <w:br/>
      </w:r>
      <w:r w:rsidRPr="00CF6E42">
        <w:rPr>
          <w:b/>
          <w:bCs/>
          <w:sz w:val="20"/>
          <w:szCs w:val="20"/>
        </w:rPr>
        <w:t xml:space="preserve">Bassam </w:t>
      </w:r>
      <w:proofErr w:type="spellStart"/>
      <w:r w:rsidRPr="00CF6E42">
        <w:rPr>
          <w:b/>
          <w:bCs/>
          <w:sz w:val="20"/>
          <w:szCs w:val="20"/>
        </w:rPr>
        <w:t>Bassam</w:t>
      </w:r>
      <w:proofErr w:type="spellEnd"/>
      <w:r w:rsidRPr="00CF6E42">
        <w:rPr>
          <w:b/>
          <w:bCs/>
          <w:sz w:val="20"/>
          <w:szCs w:val="20"/>
        </w:rPr>
        <w:t>, MD</w:t>
      </w:r>
      <w:r w:rsidRPr="00CF6E42">
        <w:rPr>
          <w:sz w:val="20"/>
          <w:szCs w:val="20"/>
        </w:rPr>
        <w:t xml:space="preserve">: Speaking - UCB Pharma; Advisory Board </w:t>
      </w:r>
      <w:r>
        <w:rPr>
          <w:sz w:val="20"/>
          <w:szCs w:val="20"/>
        </w:rPr>
        <w:t>–</w:t>
      </w:r>
      <w:r w:rsidRPr="00CF6E42">
        <w:rPr>
          <w:sz w:val="20"/>
          <w:szCs w:val="20"/>
        </w:rPr>
        <w:t xml:space="preserve"> Alexion</w:t>
      </w:r>
      <w:r>
        <w:rPr>
          <w:sz w:val="20"/>
          <w:szCs w:val="20"/>
        </w:rPr>
        <w:br/>
      </w:r>
      <w:r w:rsidRPr="00CF6E42">
        <w:rPr>
          <w:b/>
          <w:bCs/>
          <w:sz w:val="20"/>
          <w:szCs w:val="20"/>
        </w:rPr>
        <w:lastRenderedPageBreak/>
        <w:t xml:space="preserve">William </w:t>
      </w:r>
      <w:proofErr w:type="spellStart"/>
      <w:r w:rsidRPr="00CF6E42">
        <w:rPr>
          <w:b/>
          <w:bCs/>
          <w:sz w:val="20"/>
          <w:szCs w:val="20"/>
        </w:rPr>
        <w:t>Kilgo</w:t>
      </w:r>
      <w:proofErr w:type="spellEnd"/>
      <w:r w:rsidRPr="00CF6E42">
        <w:rPr>
          <w:b/>
          <w:bCs/>
          <w:sz w:val="20"/>
          <w:szCs w:val="20"/>
        </w:rPr>
        <w:t>, MD</w:t>
      </w:r>
      <w:r w:rsidRPr="00CF6E42">
        <w:rPr>
          <w:sz w:val="20"/>
          <w:szCs w:val="20"/>
        </w:rPr>
        <w:t xml:space="preserve">: Speaking/PI - </w:t>
      </w:r>
      <w:proofErr w:type="spellStart"/>
      <w:r w:rsidRPr="00CF6E42">
        <w:rPr>
          <w:sz w:val="20"/>
          <w:szCs w:val="20"/>
        </w:rPr>
        <w:t>Genetech</w:t>
      </w:r>
      <w:proofErr w:type="spellEnd"/>
      <w:r w:rsidRPr="00CF6E42">
        <w:rPr>
          <w:sz w:val="20"/>
          <w:szCs w:val="20"/>
        </w:rPr>
        <w:t xml:space="preserve">/Roche; Speaking - Biogen; Speaking - TG Therapeutics; PI </w:t>
      </w:r>
      <w:r>
        <w:rPr>
          <w:sz w:val="20"/>
          <w:szCs w:val="20"/>
        </w:rPr>
        <w:t>–</w:t>
      </w:r>
      <w:r w:rsidRPr="00CF6E42">
        <w:rPr>
          <w:sz w:val="20"/>
          <w:szCs w:val="20"/>
        </w:rPr>
        <w:t xml:space="preserve"> Novartis</w:t>
      </w:r>
      <w:r>
        <w:rPr>
          <w:sz w:val="20"/>
          <w:szCs w:val="20"/>
        </w:rPr>
        <w:br/>
      </w:r>
      <w:r w:rsidRPr="00CF6E42">
        <w:rPr>
          <w:b/>
          <w:bCs/>
          <w:sz w:val="20"/>
          <w:szCs w:val="20"/>
        </w:rPr>
        <w:t>Carmen J. Martinez</w:t>
      </w:r>
      <w:r w:rsidRPr="00CF6E42">
        <w:rPr>
          <w:sz w:val="20"/>
          <w:szCs w:val="20"/>
        </w:rPr>
        <w:t>: Stocks - Merck, Pfizer</w:t>
      </w:r>
      <w:r>
        <w:rPr>
          <w:sz w:val="20"/>
          <w:szCs w:val="20"/>
        </w:rPr>
        <w:br/>
      </w:r>
      <w:r>
        <w:rPr>
          <w:sz w:val="20"/>
          <w:szCs w:val="20"/>
        </w:rPr>
        <w:br/>
      </w:r>
      <w:r w:rsidRPr="001D0446">
        <w:rPr>
          <w:sz w:val="20"/>
          <w:szCs w:val="20"/>
        </w:rPr>
        <w:t>No relevant financial relationships were identified for any other individuals with the ability to control the content of this activity.</w:t>
      </w:r>
      <w:r>
        <w:rPr>
          <w:sz w:val="20"/>
          <w:szCs w:val="20"/>
        </w:rPr>
        <w:br/>
      </w:r>
    </w:p>
    <w:p w14:paraId="2A4F4186" w14:textId="04F9978E" w:rsidR="003716A0" w:rsidRDefault="008D1D50" w:rsidP="008D1D50">
      <w:r w:rsidRPr="001D0446">
        <w:rPr>
          <w:b/>
          <w:bCs/>
          <w:sz w:val="20"/>
          <w:szCs w:val="20"/>
        </w:rPr>
        <w:t>ALL RELVANT FINANCIAL DISCLOSURES FOR ANY INDIVIDUALS WITH THE ABILITY TO CONTROL THE CONTENT OF THIS ACTIVITY HAVE BEEN MITIGATED</w:t>
      </w:r>
    </w:p>
    <w:sectPr w:rsidR="003716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D50"/>
    <w:rsid w:val="003716A0"/>
    <w:rsid w:val="008D1D50"/>
    <w:rsid w:val="00CB00B6"/>
    <w:rsid w:val="00D50E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2BB5F"/>
  <w15:chartTrackingRefBased/>
  <w15:docId w15:val="{F3A80D5E-12F9-4888-A5F5-242BF2F41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1D5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589</Words>
  <Characters>3359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Creg</dc:creator>
  <cp:keywords/>
  <dc:description/>
  <cp:lastModifiedBy>Jim Creg</cp:lastModifiedBy>
  <cp:revision>2</cp:revision>
  <dcterms:created xsi:type="dcterms:W3CDTF">2025-04-02T19:49:00Z</dcterms:created>
  <dcterms:modified xsi:type="dcterms:W3CDTF">2025-04-02T20:03:00Z</dcterms:modified>
</cp:coreProperties>
</file>